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numId w:val="0"/>
        </w:numPr>
        <w:ind w:firstLine="361" w:firstLineChars="100"/>
        <w:jc w:val="both"/>
        <w:rPr>
          <w:rFonts w:hint="default" w:ascii="宋体" w:hAnsi="宋体" w:eastAsia="宋体"/>
          <w:b/>
          <w:bCs/>
          <w:sz w:val="36"/>
          <w:szCs w:val="36"/>
          <w:lang w:val="en-US" w:eastAsia="zh-CN"/>
        </w:rPr>
      </w:pPr>
      <w:r>
        <w:rPr>
          <w:rFonts w:hint="eastAsia" w:ascii="宋体" w:hAnsi="宋体" w:eastAsia="宋体"/>
          <w:b/>
          <w:bCs/>
          <w:sz w:val="36"/>
          <w:szCs w:val="36"/>
          <w:lang w:val="en-US" w:eastAsia="zh-CN"/>
        </w:rPr>
        <w:t>BOTE（博特）3D贴墙贴地一体机中文使用说明</w:t>
      </w:r>
    </w:p>
    <w:p>
      <w:pPr>
        <w:numPr>
          <w:numId w:val="0"/>
        </w:numPr>
        <w:rPr>
          <w:rFonts w:hint="eastAsia" w:ascii="宋体" w:hAnsi="宋体" w:eastAsia="宋体"/>
          <w:sz w:val="24"/>
          <w:lang w:val="en-US" w:eastAsia="zh-CN"/>
        </w:rPr>
      </w:pPr>
    </w:p>
    <w:p>
      <w:pPr>
        <w:numPr>
          <w:ilvl w:val="0"/>
          <w:numId w:val="1"/>
        </w:numPr>
        <w:rPr>
          <w:rFonts w:hint="eastAsia" w:ascii="宋体" w:hAnsi="宋体" w:eastAsia="宋体"/>
          <w:sz w:val="24"/>
          <w:lang w:val="en-US" w:eastAsia="zh-CN"/>
        </w:rPr>
      </w:pPr>
      <w:r>
        <w:rPr>
          <w:rFonts w:hint="eastAsia" w:ascii="宋体" w:hAnsi="宋体" w:eastAsia="宋体"/>
          <w:sz w:val="24"/>
          <w:lang w:val="en-US" w:eastAsia="zh-CN"/>
        </w:rPr>
        <w:t>特点功能</w:t>
      </w:r>
    </w:p>
    <w:p>
      <w:pPr>
        <w:numPr>
          <w:numId w:val="0"/>
        </w:numPr>
        <w:rPr>
          <w:rFonts w:hint="eastAsia" w:ascii="宋体" w:hAnsi="宋体" w:eastAsia="宋体"/>
          <w:sz w:val="24"/>
          <w:lang w:val="en-US" w:eastAsia="zh-CN"/>
        </w:rPr>
      </w:pPr>
    </w:p>
    <w:p>
      <w:pPr>
        <w:numPr>
          <w:numId w:val="0"/>
        </w:numPr>
        <w:ind w:firstLine="480"/>
        <w:rPr>
          <w:rFonts w:hint="eastAsia" w:ascii="宋体" w:hAnsi="宋体" w:eastAsia="宋体"/>
          <w:sz w:val="24"/>
          <w:lang w:val="en-US" w:eastAsia="zh-CN"/>
        </w:rPr>
      </w:pPr>
      <w:r>
        <w:rPr>
          <w:rFonts w:hint="eastAsia" w:ascii="宋体" w:hAnsi="宋体" w:eastAsia="宋体"/>
          <w:sz w:val="24"/>
          <w:lang w:val="en-US" w:eastAsia="zh-CN"/>
        </w:rPr>
        <w:t>BOTE（博特）3D贴墙贴地一体机，本款激光水平仪，可分别或同时发出自动安平的可见激光水平线、垂直线。为室内施工放样和校准提供给了精确的水平、垂直基准、操作方便，用途广泛。可以贴地砖，又可贴墙。</w:t>
      </w:r>
    </w:p>
    <w:p>
      <w:pPr>
        <w:numPr>
          <w:numId w:val="0"/>
        </w:numPr>
        <w:ind w:firstLine="480"/>
        <w:rPr>
          <w:rFonts w:hint="default" w:ascii="宋体" w:hAnsi="宋体" w:eastAsia="宋体"/>
          <w:sz w:val="24"/>
          <w:lang w:val="en-US" w:eastAsia="zh-CN"/>
        </w:rPr>
      </w:pPr>
    </w:p>
    <w:p>
      <w:pPr>
        <w:numPr>
          <w:ilvl w:val="0"/>
          <w:numId w:val="1"/>
        </w:numPr>
        <w:ind w:left="0" w:leftChars="0" w:firstLine="0" w:firstLineChars="0"/>
        <w:rPr>
          <w:rFonts w:hint="eastAsia" w:ascii="宋体" w:hAnsi="宋体" w:eastAsia="宋体"/>
          <w:sz w:val="24"/>
          <w:lang w:val="en-US" w:eastAsia="zh-CN"/>
        </w:rPr>
      </w:pPr>
      <w:r>
        <w:rPr>
          <w:rFonts w:hint="eastAsia" w:ascii="宋体" w:hAnsi="宋体" w:eastAsia="宋体"/>
          <w:sz w:val="24"/>
          <w:lang w:val="en-US" w:eastAsia="zh-CN"/>
        </w:rPr>
        <w:t>技术规格</w:t>
      </w:r>
      <w:bookmarkStart w:id="0" w:name="_GoBack"/>
      <w:bookmarkEnd w:id="0"/>
    </w:p>
    <w:p>
      <w:pPr>
        <w:numPr>
          <w:numId w:val="0"/>
        </w:numPr>
        <w:ind w:leftChars="0"/>
        <w:rPr>
          <w:rFonts w:hint="eastAsia" w:ascii="宋体" w:hAnsi="宋体" w:eastAsia="宋体"/>
          <w:sz w:val="24"/>
          <w:lang w:val="en-US" w:eastAsia="zh-C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40" w:type="dxa"/>
          </w:tcPr>
          <w:p>
            <w:pPr>
              <w:numPr>
                <w:numId w:val="0"/>
              </w:numPr>
              <w:ind w:firstLine="480" w:firstLineChars="20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技术参数</w:t>
            </w:r>
          </w:p>
        </w:tc>
        <w:tc>
          <w:tcPr>
            <w:tcW w:w="2841" w:type="dxa"/>
          </w:tcPr>
          <w:p>
            <w:pPr>
              <w:numPr>
                <w:numId w:val="0"/>
              </w:numPr>
              <w:ind w:firstLine="240" w:firstLineChars="100"/>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LD蓝 绿光12线</w:t>
            </w:r>
          </w:p>
        </w:tc>
        <w:tc>
          <w:tcPr>
            <w:tcW w:w="2841" w:type="dxa"/>
          </w:tcPr>
          <w:p>
            <w:pPr>
              <w:numPr>
                <w:numId w:val="0"/>
              </w:numPr>
              <w:ind w:firstLine="240" w:firstLineChars="10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LD蓝 绿光16线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40" w:type="dxa"/>
          </w:tcPr>
          <w:p>
            <w:pPr>
              <w:numPr>
                <w:numId w:val="0"/>
              </w:numPr>
              <w:ind w:firstLine="240" w:firstLineChars="10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激光二极管</w:t>
            </w:r>
          </w:p>
        </w:tc>
        <w:tc>
          <w:tcPr>
            <w:tcW w:w="2841"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520/505nm</w:t>
            </w:r>
          </w:p>
        </w:tc>
        <w:tc>
          <w:tcPr>
            <w:tcW w:w="2841" w:type="dxa"/>
            <w:vAlign w:val="top"/>
          </w:tcPr>
          <w:p>
            <w:pPr>
              <w:numPr>
                <w:ilvl w:val="0"/>
                <w:numId w:val="0"/>
              </w:numPr>
              <w:ind w:left="0" w:leftChars="0" w:firstLine="0" w:firstLineChars="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 xml:space="preserve"> 520/505nm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40"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精度</w:t>
            </w:r>
          </w:p>
        </w:tc>
        <w:tc>
          <w:tcPr>
            <w:tcW w:w="2841"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±1mm/7m</w:t>
            </w:r>
          </w:p>
        </w:tc>
        <w:tc>
          <w:tcPr>
            <w:tcW w:w="2841" w:type="dxa"/>
            <w:vAlign w:val="top"/>
          </w:tcPr>
          <w:p>
            <w:pPr>
              <w:numPr>
                <w:ilvl w:val="0"/>
                <w:numId w:val="0"/>
              </w:numPr>
              <w:ind w:left="0" w:leftChars="0" w:firstLine="0" w:firstLineChars="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 xml:space="preserve"> ±1mm/7m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40"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工作温度</w:t>
            </w:r>
          </w:p>
        </w:tc>
        <w:tc>
          <w:tcPr>
            <w:tcW w:w="2841"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-20℃--+40℃</w:t>
            </w:r>
          </w:p>
        </w:tc>
        <w:tc>
          <w:tcPr>
            <w:tcW w:w="2841" w:type="dxa"/>
            <w:vAlign w:val="top"/>
          </w:tcPr>
          <w:p>
            <w:pPr>
              <w:numPr>
                <w:ilvl w:val="0"/>
                <w:numId w:val="0"/>
              </w:numPr>
              <w:ind w:left="0" w:leftChars="0" w:firstLine="0" w:firstLineChars="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 xml:space="preserve"> -20℃--+40℃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40"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工作距离</w:t>
            </w:r>
          </w:p>
        </w:tc>
        <w:tc>
          <w:tcPr>
            <w:tcW w:w="2841" w:type="dxa"/>
          </w:tcPr>
          <w:p>
            <w:pPr>
              <w:numPr>
                <w:numId w:val="0"/>
              </w:numPr>
              <w:ind w:firstLine="240" w:firstLineChars="100"/>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25m</w:t>
            </w:r>
          </w:p>
        </w:tc>
        <w:tc>
          <w:tcPr>
            <w:tcW w:w="2841" w:type="dxa"/>
            <w:vAlign w:val="top"/>
          </w:tcPr>
          <w:p>
            <w:pPr>
              <w:numPr>
                <w:ilvl w:val="0"/>
                <w:numId w:val="0"/>
              </w:numPr>
              <w:ind w:left="0" w:leftChars="0" w:firstLine="240" w:firstLineChars="10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25m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40"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自动调平角度</w:t>
            </w:r>
          </w:p>
        </w:tc>
        <w:tc>
          <w:tcPr>
            <w:tcW w:w="2841"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±3°</w:t>
            </w:r>
          </w:p>
        </w:tc>
        <w:tc>
          <w:tcPr>
            <w:tcW w:w="2841" w:type="dxa"/>
            <w:vAlign w:val="top"/>
          </w:tcPr>
          <w:p>
            <w:pPr>
              <w:numPr>
                <w:ilvl w:val="0"/>
                <w:numId w:val="0"/>
              </w:numPr>
              <w:ind w:left="0" w:leftChars="0" w:firstLine="0" w:firstLineChars="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 xml:space="preserve">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40"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电源（锂电池）</w:t>
            </w:r>
          </w:p>
        </w:tc>
        <w:tc>
          <w:tcPr>
            <w:tcW w:w="2841"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大容量锂电池</w:t>
            </w:r>
          </w:p>
        </w:tc>
        <w:tc>
          <w:tcPr>
            <w:tcW w:w="2841" w:type="dxa"/>
            <w:vAlign w:val="top"/>
          </w:tcPr>
          <w:p>
            <w:pPr>
              <w:numPr>
                <w:ilvl w:val="0"/>
                <w:numId w:val="0"/>
              </w:numPr>
              <w:ind w:left="0" w:leftChars="0" w:firstLine="0" w:firstLineChars="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 xml:space="preserve"> 大容量锂电池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840"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工作时间</w:t>
            </w:r>
          </w:p>
        </w:tc>
        <w:tc>
          <w:tcPr>
            <w:tcW w:w="2841" w:type="dxa"/>
          </w:tcPr>
          <w:p>
            <w:pPr>
              <w:numPr>
                <w:numId w:val="0"/>
              </w:numPr>
              <w:rPr>
                <w:rFonts w:hint="default" w:ascii="宋体" w:hAnsi="宋体" w:eastAsia="宋体"/>
                <w:sz w:val="24"/>
                <w:vertAlign w:val="baseline"/>
                <w:lang w:val="en-US" w:eastAsia="zh-CN"/>
              </w:rPr>
            </w:pPr>
            <w:r>
              <w:rPr>
                <w:rFonts w:hint="eastAsia" w:ascii="宋体" w:hAnsi="宋体" w:eastAsia="宋体"/>
                <w:sz w:val="24"/>
                <w:vertAlign w:val="baseline"/>
                <w:lang w:val="en-US" w:eastAsia="zh-CN"/>
              </w:rPr>
              <w:t xml:space="preserve"> 8-12H</w:t>
            </w:r>
          </w:p>
        </w:tc>
        <w:tc>
          <w:tcPr>
            <w:tcW w:w="2841" w:type="dxa"/>
            <w:vAlign w:val="top"/>
          </w:tcPr>
          <w:p>
            <w:pPr>
              <w:numPr>
                <w:ilvl w:val="0"/>
                <w:numId w:val="0"/>
              </w:numPr>
              <w:ind w:left="0" w:leftChars="0" w:firstLine="0" w:firstLineChars="0"/>
              <w:rPr>
                <w:rFonts w:hint="eastAsia" w:ascii="宋体" w:hAnsi="宋体" w:eastAsia="宋体"/>
                <w:sz w:val="24"/>
                <w:vertAlign w:val="baseline"/>
                <w:lang w:val="en-US" w:eastAsia="zh-CN"/>
              </w:rPr>
            </w:pPr>
            <w:r>
              <w:rPr>
                <w:rFonts w:hint="eastAsia" w:ascii="宋体" w:hAnsi="宋体" w:eastAsia="宋体"/>
                <w:sz w:val="24"/>
                <w:vertAlign w:val="baseline"/>
                <w:lang w:val="en-US" w:eastAsia="zh-CN"/>
              </w:rPr>
              <w:t xml:space="preserve"> 8-12H</w:t>
            </w:r>
          </w:p>
        </w:tc>
      </w:tr>
    </w:tbl>
    <w:p>
      <w:pPr>
        <w:numPr>
          <w:numId w:val="0"/>
        </w:numPr>
        <w:ind w:leftChars="0"/>
        <w:rPr>
          <w:rFonts w:hint="eastAsia" w:ascii="宋体" w:hAnsi="宋体" w:eastAsia="宋体"/>
          <w:sz w:val="24"/>
          <w:lang w:val="en-US" w:eastAsia="zh-CN"/>
        </w:rPr>
      </w:pPr>
    </w:p>
    <w:p>
      <w:pPr>
        <w:numPr>
          <w:ilvl w:val="0"/>
          <w:numId w:val="1"/>
        </w:numPr>
        <w:autoSpaceDE w:val="0"/>
        <w:autoSpaceDN w:val="0"/>
        <w:adjustRightInd w:val="0"/>
        <w:ind w:left="0" w:leftChars="0" w:firstLine="0" w:firstLineChars="0"/>
        <w:jc w:val="left"/>
        <w:rPr>
          <w:rFonts w:hint="eastAsia" w:ascii="宋体" w:hAnsi="宋体" w:cs="MicrosoftYaHei"/>
          <w:kern w:val="0"/>
          <w:szCs w:val="21"/>
          <w:lang w:eastAsia="zh-CN"/>
        </w:rPr>
      </w:pPr>
      <w:r>
        <w:rPr>
          <w:rFonts w:hint="eastAsia" w:ascii="宋体" w:hAnsi="宋体" w:cs="MicrosoftYaHei"/>
          <w:kern w:val="0"/>
          <w:szCs w:val="21"/>
          <w:lang w:eastAsia="zh-CN"/>
        </w:rPr>
        <w:t>使用方法</w:t>
      </w:r>
    </w:p>
    <w:p>
      <w:pPr>
        <w:numPr>
          <w:numId w:val="0"/>
        </w:numPr>
        <w:autoSpaceDE w:val="0"/>
        <w:autoSpaceDN w:val="0"/>
        <w:adjustRightInd w:val="0"/>
        <w:ind w:leftChars="0"/>
        <w:jc w:val="left"/>
        <w:rPr>
          <w:rFonts w:hint="eastAsia" w:ascii="宋体" w:hAnsi="宋体" w:cs="MicrosoftYaHei"/>
          <w:kern w:val="0"/>
          <w:szCs w:val="21"/>
          <w:lang w:eastAsia="zh-CN"/>
        </w:rPr>
      </w:pPr>
    </w:p>
    <w:p>
      <w:pPr>
        <w:numPr>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①打开仪器底部的ON/OFF开关键，启动仪器。</w:t>
      </w:r>
    </w:p>
    <w:p>
      <w:pPr>
        <w:numPr>
          <w:numId w:val="0"/>
        </w:numPr>
        <w:autoSpaceDE w:val="0"/>
        <w:autoSpaceDN w:val="0"/>
        <w:adjustRightInd w:val="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②仪器顶部面板上V是开关垂直面的激光线 按一次开一面激光，在按一次开另外一面激光。</w:t>
      </w:r>
    </w:p>
    <w:p>
      <w:pPr>
        <w:numPr>
          <w:ilvl w:val="0"/>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③仪器顶部面板上H是开关水平面的激光线 按一次开一面激光，在按一次开关闭激光。</w:t>
      </w:r>
    </w:p>
    <w:p>
      <w:pPr>
        <w:numPr>
          <w:ilvl w:val="0"/>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④仪器顶部面板的打斜线键，主要用途于开启机器时按住此斜线键3秒，可以开启打斜线。</w:t>
      </w:r>
    </w:p>
    <w:p>
      <w:pPr>
        <w:numPr>
          <w:numId w:val="0"/>
        </w:numPr>
        <w:autoSpaceDE w:val="0"/>
        <w:autoSpaceDN w:val="0"/>
        <w:adjustRightInd w:val="0"/>
        <w:ind w:leftChars="0"/>
        <w:jc w:val="left"/>
        <w:rPr>
          <w:rFonts w:hint="eastAsia" w:ascii="宋体" w:hAnsi="宋体" w:cs="MicrosoftYaHei"/>
          <w:kern w:val="0"/>
          <w:szCs w:val="21"/>
          <w:lang w:val="en-US" w:eastAsia="zh-CN"/>
        </w:rPr>
      </w:pPr>
    </w:p>
    <w:p>
      <w:pPr>
        <w:numPr>
          <w:ilvl w:val="0"/>
          <w:numId w:val="1"/>
        </w:numPr>
        <w:autoSpaceDE w:val="0"/>
        <w:autoSpaceDN w:val="0"/>
        <w:adjustRightInd w:val="0"/>
        <w:ind w:left="0" w:leftChars="0" w:firstLine="0" w:firstLine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使用注意事项</w:t>
      </w:r>
    </w:p>
    <w:p>
      <w:pPr>
        <w:numPr>
          <w:numId w:val="0"/>
        </w:numPr>
        <w:autoSpaceDE w:val="0"/>
        <w:autoSpaceDN w:val="0"/>
        <w:adjustRightInd w:val="0"/>
        <w:ind w:leftChars="0"/>
        <w:jc w:val="left"/>
        <w:rPr>
          <w:rFonts w:hint="eastAsia" w:ascii="宋体" w:hAnsi="宋体" w:cs="MicrosoftYaHei"/>
          <w:kern w:val="0"/>
          <w:szCs w:val="21"/>
          <w:lang w:val="en-US" w:eastAsia="zh-CN"/>
        </w:rPr>
      </w:pPr>
    </w:p>
    <w:p>
      <w:pPr>
        <w:numPr>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①眼睛不要直视激光窗口处。</w:t>
      </w:r>
    </w:p>
    <w:p>
      <w:pPr>
        <w:numPr>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②仪器属于精密仪器，不可以私自拆开仪器。</w:t>
      </w:r>
    </w:p>
    <w:p>
      <w:pPr>
        <w:numPr>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③仪器的充电注意使用专用配置的充电器，不可以带电工作，充电时间在安全场所充电。</w:t>
      </w:r>
    </w:p>
    <w:p>
      <w:pPr>
        <w:numPr>
          <w:numId w:val="0"/>
        </w:numPr>
        <w:autoSpaceDE w:val="0"/>
        <w:autoSpaceDN w:val="0"/>
        <w:adjustRightInd w:val="0"/>
        <w:ind w:leftChars="0"/>
        <w:jc w:val="left"/>
        <w:rPr>
          <w:rFonts w:hint="default" w:ascii="宋体" w:hAnsi="宋体" w:cs="MicrosoftYaHei"/>
          <w:kern w:val="0"/>
          <w:szCs w:val="21"/>
          <w:lang w:val="en-US" w:eastAsia="zh-CN"/>
        </w:rPr>
      </w:pPr>
      <w:r>
        <w:rPr>
          <w:rFonts w:hint="eastAsia" w:ascii="宋体" w:hAnsi="宋体" w:cs="MicrosoftYaHei"/>
          <w:kern w:val="0"/>
          <w:szCs w:val="21"/>
          <w:lang w:val="en-US" w:eastAsia="zh-CN"/>
        </w:rPr>
        <w:t>④锂电池使用尽可能电池电量用完在充，从而延长电池的使用寿命，另仪器长时间不用记得每隔2-3个月充放电一次。</w:t>
      </w:r>
    </w:p>
    <w:p>
      <w:pPr>
        <w:numPr>
          <w:ilvl w:val="0"/>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⑤切记仪器在工作中一个地方移动到另外一个地方一定要记得关闭仪器的开关在移动。</w:t>
      </w:r>
    </w:p>
    <w:p>
      <w:pPr>
        <w:numPr>
          <w:numId w:val="0"/>
        </w:numPr>
        <w:autoSpaceDE w:val="0"/>
        <w:autoSpaceDN w:val="0"/>
        <w:adjustRightInd w:val="0"/>
        <w:ind w:leftChars="0"/>
        <w:jc w:val="left"/>
        <w:rPr>
          <w:rFonts w:hint="default" w:ascii="宋体" w:hAnsi="宋体" w:cs="MicrosoftYaHei"/>
          <w:kern w:val="0"/>
          <w:szCs w:val="21"/>
          <w:lang w:val="en-US" w:eastAsia="zh-CN"/>
        </w:rPr>
      </w:pPr>
    </w:p>
    <w:p>
      <w:pPr>
        <w:numPr>
          <w:numId w:val="0"/>
        </w:numPr>
        <w:autoSpaceDE w:val="0"/>
        <w:autoSpaceDN w:val="0"/>
        <w:adjustRightInd w:val="0"/>
        <w:ind w:leftChars="0"/>
        <w:jc w:val="left"/>
        <w:rPr>
          <w:rFonts w:hint="default" w:ascii="宋体" w:hAnsi="宋体" w:cs="MicrosoftYaHei"/>
          <w:kern w:val="0"/>
          <w:szCs w:val="21"/>
          <w:lang w:val="en-US" w:eastAsia="zh-CN"/>
        </w:rPr>
      </w:pPr>
    </w:p>
    <w:p>
      <w:pPr>
        <w:numPr>
          <w:numId w:val="0"/>
        </w:numPr>
        <w:autoSpaceDE w:val="0"/>
        <w:autoSpaceDN w:val="0"/>
        <w:adjustRightInd w:val="0"/>
        <w:ind w:leftChars="0"/>
        <w:jc w:val="left"/>
        <w:rPr>
          <w:rFonts w:hint="default" w:ascii="宋体" w:hAnsi="宋体" w:cs="MicrosoftYaHei"/>
          <w:kern w:val="0"/>
          <w:szCs w:val="21"/>
          <w:lang w:val="en-US" w:eastAsia="zh-CN"/>
        </w:rPr>
      </w:pPr>
    </w:p>
    <w:p>
      <w:pPr>
        <w:numPr>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 xml:space="preserve">                                       博特（连云港）仪器有限公司</w:t>
      </w:r>
    </w:p>
    <w:p>
      <w:pPr>
        <w:numPr>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 xml:space="preserve">                                       电话：400-828-9920</w:t>
      </w:r>
    </w:p>
    <w:p>
      <w:pPr>
        <w:numPr>
          <w:numId w:val="0"/>
        </w:numPr>
        <w:autoSpaceDE w:val="0"/>
        <w:autoSpaceDN w:val="0"/>
        <w:adjustRightInd w:val="0"/>
        <w:ind w:leftChars="0"/>
        <w:jc w:val="left"/>
        <w:rPr>
          <w:rFonts w:hint="eastAsia" w:ascii="宋体" w:hAnsi="宋体" w:cs="MicrosoftYaHei"/>
          <w:kern w:val="0"/>
          <w:szCs w:val="21"/>
          <w:lang w:val="en-US" w:eastAsia="zh-CN"/>
        </w:rPr>
      </w:pPr>
      <w:r>
        <w:rPr>
          <w:rFonts w:hint="eastAsia" w:ascii="宋体" w:hAnsi="宋体" w:cs="MicrosoftYaHei"/>
          <w:kern w:val="0"/>
          <w:szCs w:val="21"/>
          <w:lang w:val="en-US" w:eastAsia="zh-CN"/>
        </w:rPr>
        <w:t xml:space="preserve">                                       网址：</w:t>
      </w:r>
      <w:r>
        <w:rPr>
          <w:rFonts w:hint="eastAsia" w:ascii="宋体" w:hAnsi="宋体" w:cs="MicrosoftYaHei"/>
          <w:kern w:val="0"/>
          <w:szCs w:val="21"/>
          <w:lang w:val="en-US" w:eastAsia="zh-CN"/>
        </w:rPr>
        <w:fldChar w:fldCharType="begin"/>
      </w:r>
      <w:r>
        <w:rPr>
          <w:rFonts w:hint="eastAsia" w:ascii="宋体" w:hAnsi="宋体" w:cs="MicrosoftYaHei"/>
          <w:kern w:val="0"/>
          <w:szCs w:val="21"/>
          <w:lang w:val="en-US" w:eastAsia="zh-CN"/>
        </w:rPr>
        <w:instrText xml:space="preserve"> HYPERLINK "http://www.chinabote.com.cn" </w:instrText>
      </w:r>
      <w:r>
        <w:rPr>
          <w:rFonts w:hint="eastAsia" w:ascii="宋体" w:hAnsi="宋体" w:cs="MicrosoftYaHei"/>
          <w:kern w:val="0"/>
          <w:szCs w:val="21"/>
          <w:lang w:val="en-US" w:eastAsia="zh-CN"/>
        </w:rPr>
        <w:fldChar w:fldCharType="separate"/>
      </w:r>
      <w:r>
        <w:rPr>
          <w:rStyle w:val="12"/>
          <w:rFonts w:hint="eastAsia" w:ascii="宋体" w:hAnsi="宋体" w:cs="MicrosoftYaHei"/>
          <w:kern w:val="0"/>
          <w:szCs w:val="21"/>
          <w:lang w:val="en-US" w:eastAsia="zh-CN"/>
        </w:rPr>
        <w:t>www.chinabote.com.cn</w:t>
      </w:r>
      <w:r>
        <w:rPr>
          <w:rFonts w:hint="eastAsia" w:ascii="宋体" w:hAnsi="宋体" w:cs="MicrosoftYaHei"/>
          <w:kern w:val="0"/>
          <w:szCs w:val="21"/>
          <w:lang w:val="en-US" w:eastAsia="zh-CN"/>
        </w:rPr>
        <w:fldChar w:fldCharType="end"/>
      </w:r>
    </w:p>
    <w:p>
      <w:pPr>
        <w:numPr>
          <w:numId w:val="0"/>
        </w:numPr>
        <w:autoSpaceDE w:val="0"/>
        <w:autoSpaceDN w:val="0"/>
        <w:adjustRightInd w:val="0"/>
        <w:ind w:leftChars="0"/>
        <w:jc w:val="left"/>
        <w:rPr>
          <w:rFonts w:hint="default" w:ascii="宋体" w:hAnsi="宋体" w:cs="MicrosoftYaHei"/>
          <w:kern w:val="0"/>
          <w:szCs w:val="21"/>
          <w:lang w:val="en-US" w:eastAsia="zh-CN"/>
        </w:rPr>
      </w:pPr>
      <w:r>
        <w:rPr>
          <w:rFonts w:hint="eastAsia" w:ascii="宋体" w:hAnsi="宋体" w:cs="MicrosoftYaHei"/>
          <w:kern w:val="0"/>
          <w:szCs w:val="21"/>
          <w:lang w:val="en-US" w:eastAsia="zh-CN"/>
        </w:rPr>
        <w:t xml:space="preserve">                                       地址：中国。江苏。连云港</w:t>
      </w:r>
    </w:p>
    <w:sectPr>
      <w:headerReference r:id="rId3" w:type="default"/>
      <w:footerReference r:id="rId4" w:type="default"/>
      <w:pgSz w:w="11906" w:h="16838"/>
      <w:pgMar w:top="1440" w:right="1800" w:bottom="873" w:left="1800" w:header="851" w:footer="340"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roman"/>
    <w:pitch w:val="default"/>
    <w:sig w:usb0="80000287" w:usb1="280F3C52" w:usb2="00000016" w:usb3="00000000" w:csb0="0004001F" w:csb1="00000000"/>
  </w:font>
  <w:font w:name="MicrosoftYaHei">
    <w:altName w:val="宋体"/>
    <w:panose1 w:val="00000000000000000000"/>
    <w:charset w:val="86"/>
    <w:family w:val="auto"/>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Segoe UI">
    <w:panose1 w:val="020B0502040204020203"/>
    <w:charset w:val="00"/>
    <w:family w:val="auto"/>
    <w:pitch w:val="default"/>
    <w:sig w:usb0="E10022FF" w:usb1="C000E47F" w:usb2="00000029" w:usb3="00000000" w:csb0="200001DF" w:csb1="20000000"/>
  </w:font>
  <w:font w:name="叶根友毛笔行书2.0版">
    <w:panose1 w:val="02010601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N w:val="0"/>
      <w:ind w:firstLine="2940" w:firstLineChars="1400"/>
      <w:rPr>
        <w:rFonts w:hint="eastAsia" w:eastAsiaTheme="minorEastAsia"/>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tabs>
        <w:tab w:val="left" w:pos="1423"/>
        <w:tab w:val="clear" w:pos="4153"/>
      </w:tabs>
      <w:rPr>
        <w:rFonts w:hint="eastAsia"/>
        <w:lang w:eastAsia="zh-CN"/>
      </w:rPr>
    </w:pPr>
  </w:p>
  <w:p>
    <w:pPr>
      <w:pStyle w:val="5"/>
      <w:pBdr>
        <w:bottom w:val="none" w:color="auto" w:sz="0" w:space="1"/>
      </w:pBdr>
      <w:tabs>
        <w:tab w:val="left" w:pos="1423"/>
        <w:tab w:val="clear" w:pos="4153"/>
      </w:tabs>
      <w:rPr>
        <w:rFonts w:hint="eastAsia" w:eastAsiaTheme="minorEastAsia"/>
        <w:lang w:eastAsia="zh-CN"/>
      </w:rPr>
    </w:pPr>
    <w:r>
      <w:rPr>
        <w:rFonts w:hint="eastAsia"/>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6AADE"/>
    <w:multiLevelType w:val="singleLevel"/>
    <w:tmpl w:val="0746AAD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92F2B"/>
    <w:rsid w:val="00AB3DC2"/>
    <w:rsid w:val="00BD1AEC"/>
    <w:rsid w:val="00EB3CE8"/>
    <w:rsid w:val="00EC712B"/>
    <w:rsid w:val="01543B99"/>
    <w:rsid w:val="02396031"/>
    <w:rsid w:val="03C13C7D"/>
    <w:rsid w:val="043842A0"/>
    <w:rsid w:val="043C51BE"/>
    <w:rsid w:val="044412D4"/>
    <w:rsid w:val="04FB04D4"/>
    <w:rsid w:val="05D379E3"/>
    <w:rsid w:val="05FC1545"/>
    <w:rsid w:val="06184E72"/>
    <w:rsid w:val="06D255A4"/>
    <w:rsid w:val="0776684E"/>
    <w:rsid w:val="077B346D"/>
    <w:rsid w:val="087F4C51"/>
    <w:rsid w:val="08C8609C"/>
    <w:rsid w:val="09940A0B"/>
    <w:rsid w:val="09C307B0"/>
    <w:rsid w:val="0A9C1408"/>
    <w:rsid w:val="0AA36C84"/>
    <w:rsid w:val="0B8E68B1"/>
    <w:rsid w:val="0BC553FE"/>
    <w:rsid w:val="0BD8627A"/>
    <w:rsid w:val="0C0221FB"/>
    <w:rsid w:val="0C604F9F"/>
    <w:rsid w:val="0C620F78"/>
    <w:rsid w:val="0CC80AF1"/>
    <w:rsid w:val="0E503807"/>
    <w:rsid w:val="0E531AE3"/>
    <w:rsid w:val="0EF27D2D"/>
    <w:rsid w:val="0F206BAE"/>
    <w:rsid w:val="0F54434E"/>
    <w:rsid w:val="0FD96770"/>
    <w:rsid w:val="1013581C"/>
    <w:rsid w:val="105E0F05"/>
    <w:rsid w:val="12601864"/>
    <w:rsid w:val="129F2BED"/>
    <w:rsid w:val="13090947"/>
    <w:rsid w:val="13B42055"/>
    <w:rsid w:val="13BF7AF9"/>
    <w:rsid w:val="141411F6"/>
    <w:rsid w:val="14275094"/>
    <w:rsid w:val="14905C4F"/>
    <w:rsid w:val="159440B7"/>
    <w:rsid w:val="164F2FF3"/>
    <w:rsid w:val="175C015D"/>
    <w:rsid w:val="17BA1DC1"/>
    <w:rsid w:val="18425DAA"/>
    <w:rsid w:val="1846320B"/>
    <w:rsid w:val="185839C9"/>
    <w:rsid w:val="187D1048"/>
    <w:rsid w:val="18C75209"/>
    <w:rsid w:val="1AA01233"/>
    <w:rsid w:val="1ABA4603"/>
    <w:rsid w:val="1C311115"/>
    <w:rsid w:val="1C690612"/>
    <w:rsid w:val="1C6C1792"/>
    <w:rsid w:val="1C6E3C8A"/>
    <w:rsid w:val="1CBF3A50"/>
    <w:rsid w:val="1DA47234"/>
    <w:rsid w:val="1E332041"/>
    <w:rsid w:val="1E3F59D9"/>
    <w:rsid w:val="1F5A08C5"/>
    <w:rsid w:val="1FE7229C"/>
    <w:rsid w:val="2097350C"/>
    <w:rsid w:val="214018AF"/>
    <w:rsid w:val="2179693F"/>
    <w:rsid w:val="21C76AFC"/>
    <w:rsid w:val="23EA0E6E"/>
    <w:rsid w:val="24A51F53"/>
    <w:rsid w:val="257F1A05"/>
    <w:rsid w:val="257F5C7A"/>
    <w:rsid w:val="26B943E1"/>
    <w:rsid w:val="27F356AF"/>
    <w:rsid w:val="28A469B9"/>
    <w:rsid w:val="29312422"/>
    <w:rsid w:val="29900B55"/>
    <w:rsid w:val="2B304FFD"/>
    <w:rsid w:val="2C9A17C7"/>
    <w:rsid w:val="2D853A65"/>
    <w:rsid w:val="2D994844"/>
    <w:rsid w:val="2E07472B"/>
    <w:rsid w:val="2FAE095B"/>
    <w:rsid w:val="2FCB5108"/>
    <w:rsid w:val="306B1D27"/>
    <w:rsid w:val="30953D5B"/>
    <w:rsid w:val="32C53D1A"/>
    <w:rsid w:val="338C2D35"/>
    <w:rsid w:val="33B12E99"/>
    <w:rsid w:val="33BF6270"/>
    <w:rsid w:val="35840D70"/>
    <w:rsid w:val="363C56BA"/>
    <w:rsid w:val="36420326"/>
    <w:rsid w:val="366E7287"/>
    <w:rsid w:val="36CA25BD"/>
    <w:rsid w:val="37010C61"/>
    <w:rsid w:val="371112AB"/>
    <w:rsid w:val="373C7134"/>
    <w:rsid w:val="37E00078"/>
    <w:rsid w:val="38817A39"/>
    <w:rsid w:val="388D45DF"/>
    <w:rsid w:val="388D5336"/>
    <w:rsid w:val="38EE0380"/>
    <w:rsid w:val="39953375"/>
    <w:rsid w:val="3AFB03E4"/>
    <w:rsid w:val="3B8726F3"/>
    <w:rsid w:val="3BC15EE6"/>
    <w:rsid w:val="3D63761A"/>
    <w:rsid w:val="3E1A1FC5"/>
    <w:rsid w:val="3E4B0BF8"/>
    <w:rsid w:val="3EC5662B"/>
    <w:rsid w:val="3F0D219F"/>
    <w:rsid w:val="3F291754"/>
    <w:rsid w:val="3F7A1DE7"/>
    <w:rsid w:val="3F7A39CC"/>
    <w:rsid w:val="3F843E92"/>
    <w:rsid w:val="3FD94805"/>
    <w:rsid w:val="41190AF6"/>
    <w:rsid w:val="41604340"/>
    <w:rsid w:val="417727FE"/>
    <w:rsid w:val="41B11181"/>
    <w:rsid w:val="433F4DDC"/>
    <w:rsid w:val="439B66C5"/>
    <w:rsid w:val="43A50D8E"/>
    <w:rsid w:val="43AF40E4"/>
    <w:rsid w:val="45233582"/>
    <w:rsid w:val="4558345C"/>
    <w:rsid w:val="456D77D8"/>
    <w:rsid w:val="45BF602D"/>
    <w:rsid w:val="46024744"/>
    <w:rsid w:val="462D56C8"/>
    <w:rsid w:val="468256E2"/>
    <w:rsid w:val="478026EE"/>
    <w:rsid w:val="47C6611E"/>
    <w:rsid w:val="47D56019"/>
    <w:rsid w:val="47DF5C13"/>
    <w:rsid w:val="496100E4"/>
    <w:rsid w:val="497E1F82"/>
    <w:rsid w:val="49EC38A9"/>
    <w:rsid w:val="4AC2541F"/>
    <w:rsid w:val="4B8A078C"/>
    <w:rsid w:val="4C692B57"/>
    <w:rsid w:val="4CB620AE"/>
    <w:rsid w:val="4CEA64C1"/>
    <w:rsid w:val="4D0254C9"/>
    <w:rsid w:val="4D196562"/>
    <w:rsid w:val="4D685206"/>
    <w:rsid w:val="4DC15335"/>
    <w:rsid w:val="4E0841FE"/>
    <w:rsid w:val="4FB35885"/>
    <w:rsid w:val="4FD96544"/>
    <w:rsid w:val="4FF612BC"/>
    <w:rsid w:val="4FF93EAB"/>
    <w:rsid w:val="5055269E"/>
    <w:rsid w:val="5149236A"/>
    <w:rsid w:val="5198371C"/>
    <w:rsid w:val="51E205CF"/>
    <w:rsid w:val="52C94B41"/>
    <w:rsid w:val="5386332F"/>
    <w:rsid w:val="54C707CE"/>
    <w:rsid w:val="55414E0D"/>
    <w:rsid w:val="554B7AEE"/>
    <w:rsid w:val="558F6326"/>
    <w:rsid w:val="56330AA3"/>
    <w:rsid w:val="566E6C0D"/>
    <w:rsid w:val="568E45D9"/>
    <w:rsid w:val="569D6F89"/>
    <w:rsid w:val="56C206B8"/>
    <w:rsid w:val="579722E4"/>
    <w:rsid w:val="579C46E0"/>
    <w:rsid w:val="581C0795"/>
    <w:rsid w:val="58756DF7"/>
    <w:rsid w:val="593E22BC"/>
    <w:rsid w:val="5957308D"/>
    <w:rsid w:val="59D44666"/>
    <w:rsid w:val="59F82655"/>
    <w:rsid w:val="5A905FA0"/>
    <w:rsid w:val="5B5A7205"/>
    <w:rsid w:val="5B600995"/>
    <w:rsid w:val="5C265C6D"/>
    <w:rsid w:val="5C7A45DA"/>
    <w:rsid w:val="5C9F26E0"/>
    <w:rsid w:val="5CDA2403"/>
    <w:rsid w:val="5E4F26A0"/>
    <w:rsid w:val="5F31499D"/>
    <w:rsid w:val="5F47464E"/>
    <w:rsid w:val="5F4B77AA"/>
    <w:rsid w:val="5FA05B24"/>
    <w:rsid w:val="5FC26F0F"/>
    <w:rsid w:val="600601B2"/>
    <w:rsid w:val="60417DA3"/>
    <w:rsid w:val="606C250F"/>
    <w:rsid w:val="60881AC6"/>
    <w:rsid w:val="613D51FC"/>
    <w:rsid w:val="617A6F8E"/>
    <w:rsid w:val="61E251DE"/>
    <w:rsid w:val="61FA7C89"/>
    <w:rsid w:val="622D2C7D"/>
    <w:rsid w:val="624E742C"/>
    <w:rsid w:val="629578BD"/>
    <w:rsid w:val="62B1097A"/>
    <w:rsid w:val="62C80E44"/>
    <w:rsid w:val="62CA0E21"/>
    <w:rsid w:val="63327679"/>
    <w:rsid w:val="63840DB1"/>
    <w:rsid w:val="638D0EDA"/>
    <w:rsid w:val="639935E0"/>
    <w:rsid w:val="63EB4067"/>
    <w:rsid w:val="63FB1BAD"/>
    <w:rsid w:val="658C0342"/>
    <w:rsid w:val="66143A0D"/>
    <w:rsid w:val="66C51BA2"/>
    <w:rsid w:val="66C9347E"/>
    <w:rsid w:val="66E320F9"/>
    <w:rsid w:val="67317D5C"/>
    <w:rsid w:val="68F040E2"/>
    <w:rsid w:val="69F45A45"/>
    <w:rsid w:val="6AF43D0B"/>
    <w:rsid w:val="6B134744"/>
    <w:rsid w:val="6BA92466"/>
    <w:rsid w:val="6BCD084C"/>
    <w:rsid w:val="6BE901DC"/>
    <w:rsid w:val="6C956BAA"/>
    <w:rsid w:val="6C985C07"/>
    <w:rsid w:val="6CBF551C"/>
    <w:rsid w:val="6DC552BD"/>
    <w:rsid w:val="6E013A79"/>
    <w:rsid w:val="6E8053EC"/>
    <w:rsid w:val="6EAC2C2E"/>
    <w:rsid w:val="6EB1417D"/>
    <w:rsid w:val="6EBC72B5"/>
    <w:rsid w:val="6F254E36"/>
    <w:rsid w:val="6F78681B"/>
    <w:rsid w:val="7057024A"/>
    <w:rsid w:val="70D8513E"/>
    <w:rsid w:val="714D7AF7"/>
    <w:rsid w:val="720E4ED7"/>
    <w:rsid w:val="724B3714"/>
    <w:rsid w:val="725D6AD6"/>
    <w:rsid w:val="72931F50"/>
    <w:rsid w:val="742F269F"/>
    <w:rsid w:val="74EB4F52"/>
    <w:rsid w:val="74ED5041"/>
    <w:rsid w:val="75785F6C"/>
    <w:rsid w:val="76415344"/>
    <w:rsid w:val="76581E50"/>
    <w:rsid w:val="77066AA7"/>
    <w:rsid w:val="787D1C50"/>
    <w:rsid w:val="78FB6FC4"/>
    <w:rsid w:val="7A256DA2"/>
    <w:rsid w:val="7A737BCF"/>
    <w:rsid w:val="7A8F5B4A"/>
    <w:rsid w:val="7B944F61"/>
    <w:rsid w:val="7BDE1C2E"/>
    <w:rsid w:val="7CC775ED"/>
    <w:rsid w:val="7E242791"/>
    <w:rsid w:val="7E3A4573"/>
    <w:rsid w:val="7E9F5EDA"/>
    <w:rsid w:val="7EBC3895"/>
    <w:rsid w:val="7F1751BD"/>
    <w:rsid w:val="7F3E5F2F"/>
    <w:rsid w:val="7F5F40B4"/>
    <w:rsid w:val="7FD62D64"/>
    <w:rsid w:val="7FDC51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line="500" w:lineRule="exact"/>
    </w:pPr>
    <w:rPr>
      <w:rFonts w:ascii="宋体" w:hAnsi="宋体"/>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SA"/>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FollowedHyperlink"/>
    <w:qFormat/>
    <w:uiPriority w:val="0"/>
    <w:rPr>
      <w:color w:val="800080"/>
      <w:u w:val="single"/>
    </w:rPr>
  </w:style>
  <w:style w:type="character" w:styleId="12">
    <w:name w:val="Hyperlink"/>
    <w:basedOn w:val="9"/>
    <w:qFormat/>
    <w:uiPriority w:val="0"/>
    <w:rPr>
      <w:color w:val="0000FF"/>
      <w:u w:val="single"/>
    </w:rPr>
  </w:style>
  <w:style w:type="paragraph" w:customStyle="1" w:styleId="13">
    <w:name w:val="_Style 0"/>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69</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金升公司 小陈</cp:lastModifiedBy>
  <dcterms:modified xsi:type="dcterms:W3CDTF">2020-12-02T03:53:08Z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